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360D64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360D64">
              <w:rPr>
                <w:b w:val="0"/>
                <w:i/>
                <w:sz w:val="24"/>
                <w:szCs w:val="24"/>
                <w:lang w:val="en-US"/>
              </w:rPr>
              <w:t>9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E4EB1" w:rsidRDefault="00EE4EB1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tháng </w:t>
      </w:r>
      <w:r w:rsidR="00360D6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Thông báo số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/TB-UBND ngày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về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 công dân định kỳ của Chủ tịch UBND thành phố năm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định kỳ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spacing w:val="-6"/>
          <w:sz w:val="28"/>
          <w:szCs w:val="28"/>
          <w:lang w:val="en-US"/>
        </w:rPr>
        <w:t>30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tháng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9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vào lúc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sáng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chiều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en-US"/>
        </w:rPr>
        <w:t>Tấn Tài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TQVN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D563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gram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môn chuẩn bị nội dung tham mưu cho Chủ tịch UBND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biết để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0A90" w:rsidTr="00A55B23">
        <w:tc>
          <w:tcPr>
            <w:tcW w:w="3369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 - Thường trực </w:t>
            </w:r>
            <w:r w:rsidR="004051DE">
              <w:rPr>
                <w:lang w:val="en-US"/>
              </w:rPr>
              <w:t>HĐND TP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4051DE">
              <w:rPr>
                <w:lang w:val="en-US"/>
              </w:rPr>
              <w:t>TP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DF0A90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r w:rsidR="00A55B23">
              <w:t>Công an thành phố</w:t>
            </w:r>
            <w:r w:rsidR="00DF0A90"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 w:rsidRPr="00D8410B">
              <w:t xml:space="preserve">- </w:t>
            </w:r>
            <w:r w:rsidR="00A55B23">
              <w:rPr>
                <w:lang w:val="en-US"/>
              </w:rPr>
              <w:t>Ban T</w:t>
            </w:r>
            <w:r w:rsidR="00D56325">
              <w:rPr>
                <w:lang w:val="en-US"/>
              </w:rPr>
              <w:t>iếp công dân</w:t>
            </w:r>
            <w:r w:rsidR="00A55B23">
              <w:rPr>
                <w:lang w:val="en-US"/>
              </w:rPr>
              <w:t xml:space="preserve"> TP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VHTT-TTTP;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  <w:r w:rsidR="00A55B23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6237" w:type="dxa"/>
          </w:tcPr>
          <w:p w:rsidR="00DF0A90" w:rsidRPr="006D11DC" w:rsidRDefault="009E43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KT.</w:t>
            </w:r>
            <w:r w:rsidR="00F52A08"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9E4308" w:rsidRDefault="009E4308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9E4308"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TRƯỞNG BAN</w:t>
            </w: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C9404B" w:rsidRDefault="00D62E3C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Huỳnh Huy Hoàng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C3" w:rsidRDefault="00B109C3" w:rsidP="00E0406D">
      <w:r>
        <w:separator/>
      </w:r>
    </w:p>
  </w:endnote>
  <w:endnote w:type="continuationSeparator" w:id="0">
    <w:p w:rsidR="00B109C3" w:rsidRDefault="00B109C3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C3" w:rsidRDefault="00B109C3"/>
  </w:footnote>
  <w:footnote w:type="continuationSeparator" w:id="0">
    <w:p w:rsidR="00B109C3" w:rsidRDefault="00B109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207353"/>
    <w:rsid w:val="00217330"/>
    <w:rsid w:val="002360F9"/>
    <w:rsid w:val="00247163"/>
    <w:rsid w:val="00260428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E4308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9C3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62E3C"/>
    <w:rsid w:val="00D8410B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96A72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2E8647F-B85F-49AA-9804-99A6A594E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103DD-E629-448C-8E83-82A2DFA04C1B}"/>
</file>

<file path=customXml/itemProps3.xml><?xml version="1.0" encoding="utf-8"?>
<ds:datastoreItem xmlns:ds="http://schemas.openxmlformats.org/officeDocument/2006/customXml" ds:itemID="{565E1524-77B0-486A-8EC7-2B521926C913}"/>
</file>

<file path=customXml/itemProps4.xml><?xml version="1.0" encoding="utf-8"?>
<ds:datastoreItem xmlns:ds="http://schemas.openxmlformats.org/officeDocument/2006/customXml" ds:itemID="{66982F10-8DC0-4FCE-BCEE-765073C3D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4</cp:revision>
  <cp:lastPrinted>2023-01-06T07:40:00Z</cp:lastPrinted>
  <dcterms:created xsi:type="dcterms:W3CDTF">2024-09-23T00:34:00Z</dcterms:created>
  <dcterms:modified xsi:type="dcterms:W3CDTF">2024-09-23T01:25:00Z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